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AD3" w:rsidRPr="001343CC" w:rsidRDefault="00414AD3" w:rsidP="00414AD3">
      <w:pPr>
        <w:pStyle w:val="2"/>
        <w:tabs>
          <w:tab w:val="left" w:pos="993"/>
        </w:tabs>
        <w:spacing w:before="0" w:after="0" w:line="240" w:lineRule="auto"/>
        <w:jc w:val="center"/>
        <w:rPr>
          <w:lang w:eastAsia="ru-RU"/>
        </w:rPr>
      </w:pPr>
      <w:r w:rsidRPr="001343CC">
        <w:rPr>
          <w:lang w:eastAsia="ru-RU"/>
        </w:rPr>
        <w:t>Рекомендации по подготовке приложений к заявлению о переоформлении аттестата аккредитации в сфере технического осмотра транспортных средств.</w:t>
      </w:r>
    </w:p>
    <w:p w:rsidR="00566F59" w:rsidRPr="001343CC" w:rsidRDefault="00566F59" w:rsidP="00566F59">
      <w:pPr>
        <w:spacing w:after="0" w:line="240" w:lineRule="auto"/>
        <w:jc w:val="center"/>
        <w:rPr>
          <w:rFonts w:ascii="Cambria" w:eastAsia="Times New Roman" w:hAnsi="Cambria"/>
          <w:b/>
          <w:bCs/>
          <w:i/>
          <w:iCs/>
          <w:sz w:val="28"/>
          <w:szCs w:val="28"/>
          <w:lang w:eastAsia="ru-RU"/>
        </w:rPr>
      </w:pPr>
      <w:r w:rsidRPr="001343CC">
        <w:rPr>
          <w:rFonts w:ascii="Cambria" w:eastAsia="Times New Roman" w:hAnsi="Cambria"/>
          <w:b/>
          <w:bCs/>
          <w:i/>
          <w:iCs/>
          <w:sz w:val="28"/>
          <w:szCs w:val="28"/>
          <w:lang w:eastAsia="ru-RU"/>
        </w:rPr>
        <w:t>в связи с расширением области аккредитации пункта технического осмотра и/или передвижной диагностической линии</w:t>
      </w:r>
    </w:p>
    <w:p w:rsidR="00414AD3" w:rsidRPr="001343CC" w:rsidRDefault="00414AD3" w:rsidP="00414AD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4AD3" w:rsidRPr="001343CC" w:rsidRDefault="00414AD3" w:rsidP="00414AD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Документы к заявлению формируются и компонуются строго в соответствии с рекомендуемой Описью</w:t>
      </w:r>
      <w:r w:rsidRPr="001343CC">
        <w:rPr>
          <w:u w:val="single"/>
        </w:rPr>
        <w:t xml:space="preserve"> </w:t>
      </w:r>
      <w:r w:rsidRPr="001343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 заявлению о переоформлении аттестата аккредитации оператора технического осмотра.</w:t>
      </w:r>
    </w:p>
    <w:p w:rsidR="00414AD3" w:rsidRPr="001343CC" w:rsidRDefault="00414AD3" w:rsidP="00414AD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4AD3" w:rsidRPr="001343CC" w:rsidRDefault="00414AD3" w:rsidP="00414AD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Нумерация Описи </w:t>
      </w: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343CC">
        <w:rPr>
          <w:rFonts w:ascii="Times New Roman" w:eastAsia="Times New Roman" w:hAnsi="Times New Roman"/>
          <w:i/>
          <w:sz w:val="28"/>
          <w:szCs w:val="28"/>
          <w:lang w:eastAsia="ru-RU"/>
        </w:rPr>
        <w:t>для заявителей – юридических лиц)</w:t>
      </w: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14AD3" w:rsidRPr="001343CC" w:rsidRDefault="00414AD3" w:rsidP="00414AD3">
      <w:pPr>
        <w:tabs>
          <w:tab w:val="left" w:pos="0"/>
          <w:tab w:val="left" w:pos="284"/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AD3" w:rsidRPr="001343CC" w:rsidRDefault="00414AD3" w:rsidP="00414AD3">
      <w:pPr>
        <w:tabs>
          <w:tab w:val="left" w:pos="0"/>
          <w:tab w:val="left" w:pos="284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>№ 1 Копия документа, подтверждающего наличие полномочий лица, подписавшего заявление, на осуществление действий от имени юридического лица</w:t>
      </w:r>
    </w:p>
    <w:p w:rsidR="00414AD3" w:rsidRPr="001343CC" w:rsidRDefault="00414AD3" w:rsidP="00414AD3">
      <w:pPr>
        <w:tabs>
          <w:tab w:val="left" w:pos="0"/>
          <w:tab w:val="left" w:pos="284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- копия протокола (копия выписки из протокола) общего собрания участников общества, или копия решения единственного участника общества, или копия доверенности на подписавшее заявление лицо, содержащая соответствующие полномочия, или (только для государс</w:t>
      </w:r>
      <w:r w:rsidR="009D038E" w:rsidRPr="001343CC">
        <w:rPr>
          <w:rFonts w:ascii="Times New Roman" w:eastAsia="Times New Roman" w:hAnsi="Times New Roman"/>
          <w:sz w:val="28"/>
          <w:szCs w:val="28"/>
          <w:lang w:eastAsia="ru-RU"/>
        </w:rPr>
        <w:t>твенных организаций и учреждений</w:t>
      </w: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) копия приказа о назначении на должность руководителя.</w:t>
      </w:r>
    </w:p>
    <w:p w:rsidR="00414AD3" w:rsidRPr="001343CC" w:rsidRDefault="00414AD3" w:rsidP="00414AD3">
      <w:pPr>
        <w:tabs>
          <w:tab w:val="left" w:pos="0"/>
          <w:tab w:val="left" w:pos="284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AD3" w:rsidRPr="001343CC" w:rsidRDefault="00414AD3" w:rsidP="00414AD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Нумерация Описи </w:t>
      </w:r>
      <w:r w:rsidRPr="001343CC">
        <w:rPr>
          <w:rFonts w:ascii="Times New Roman" w:eastAsia="Times New Roman" w:hAnsi="Times New Roman"/>
          <w:i/>
          <w:sz w:val="28"/>
          <w:szCs w:val="28"/>
          <w:lang w:eastAsia="ru-RU"/>
        </w:rPr>
        <w:t>(для заявителей – индивидуальных предпринимателей)</w:t>
      </w: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14AD3" w:rsidRPr="001343CC" w:rsidRDefault="00414AD3" w:rsidP="00414AD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4AD3" w:rsidRPr="001343CC" w:rsidRDefault="00414AD3" w:rsidP="00414AD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>№ 1 Копии документов, подтверждающих факт внесения сведений об индивидуальном предпринимателе в единый государственный реестр индивидуальных предпринимателей:</w:t>
      </w:r>
    </w:p>
    <w:p w:rsidR="00414AD3" w:rsidRPr="001343CC" w:rsidRDefault="00414AD3" w:rsidP="00414AD3">
      <w:pPr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- копия Свидетельства о государственной регистрации физического лица в качестве индивидуального предпринимателя</w:t>
      </w:r>
      <w:r w:rsidRPr="001343CC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копия Листа записи </w:t>
      </w: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Единого государственного реестра индивидуальных предпринимателей по форме № Р60009</w:t>
      </w:r>
      <w:r w:rsidRPr="001343CC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2"/>
      </w: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4AD3" w:rsidRPr="001343CC" w:rsidRDefault="00414AD3" w:rsidP="00414AD3">
      <w:pPr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AD3" w:rsidRPr="001343CC" w:rsidRDefault="00414AD3" w:rsidP="00414AD3">
      <w:pPr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>№ 1.1 Копия паспорта – индивидуального предпринимателя:</w:t>
      </w:r>
    </w:p>
    <w:p w:rsidR="00414AD3" w:rsidRPr="001343CC" w:rsidRDefault="00414AD3" w:rsidP="00414AD3">
      <w:pPr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- копия паспорта заявителя -</w:t>
      </w:r>
      <w:r w:rsidRPr="001343CC">
        <w:t xml:space="preserve"> </w:t>
      </w: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предпринимателя.</w:t>
      </w:r>
    </w:p>
    <w:p w:rsidR="00414AD3" w:rsidRPr="001343CC" w:rsidRDefault="00414AD3" w:rsidP="00414AD3">
      <w:pPr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AD3" w:rsidRPr="001343CC" w:rsidRDefault="00414AD3" w:rsidP="00414AD3">
      <w:pPr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>№ 2.1</w:t>
      </w:r>
      <w:r w:rsidRPr="001343CC">
        <w:rPr>
          <w:b/>
        </w:rPr>
        <w:t xml:space="preserve"> </w:t>
      </w: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>Копия доверенности на подписание заявления от имени индивидуального предпринимателя (прикладывается в случае, если заявление подписывается не лично ИП, а иным лицом):</w:t>
      </w:r>
    </w:p>
    <w:p w:rsidR="00414AD3" w:rsidRPr="001343CC" w:rsidRDefault="00414AD3" w:rsidP="00414AD3">
      <w:pPr>
        <w:tabs>
          <w:tab w:val="left" w:pos="142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- при необходимости в случае если лицо, подписавшее заявление не является индивидуальным предпринимателем, копия доверенности на подписавшее заявление лицо, содержащая соответствующие полномочия.</w:t>
      </w:r>
    </w:p>
    <w:p w:rsidR="00414AD3" w:rsidRPr="001343CC" w:rsidRDefault="00414AD3" w:rsidP="00414AD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4AD3" w:rsidRPr="001343CC" w:rsidRDefault="00414AD3" w:rsidP="00414AD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Нумерация Описи </w:t>
      </w:r>
      <w:r w:rsidRPr="001343CC">
        <w:rPr>
          <w:rFonts w:ascii="Times New Roman" w:eastAsia="Times New Roman" w:hAnsi="Times New Roman"/>
          <w:i/>
          <w:sz w:val="28"/>
          <w:szCs w:val="28"/>
          <w:lang w:eastAsia="ru-RU"/>
        </w:rPr>
        <w:t>(для всех заявителей)</w:t>
      </w: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14AD3" w:rsidRPr="001343CC" w:rsidRDefault="00414AD3" w:rsidP="00414AD3">
      <w:pPr>
        <w:tabs>
          <w:tab w:val="left" w:pos="0"/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AD3" w:rsidRPr="001343CC" w:rsidRDefault="00414AD3" w:rsidP="00414AD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>№ 2</w:t>
      </w:r>
      <w:r w:rsidRPr="001343CC">
        <w:rPr>
          <w:b/>
        </w:rPr>
        <w:t xml:space="preserve"> </w:t>
      </w: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>Копия платежного документа, подтверждающего внесение платы за аккредитацию:</w:t>
      </w:r>
    </w:p>
    <w:p w:rsidR="00414AD3" w:rsidRPr="001343CC" w:rsidRDefault="00414AD3" w:rsidP="00414AD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копия платежного документа, подтверждающего внесение платы за аккредитацию в размере</w:t>
      </w:r>
      <w:r w:rsidRPr="001343CC">
        <w:t xml:space="preserve"> </w:t>
      </w: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25000 рублей за рассмотрение заявления о переоформлении аттестата аккредитации и принятие решения о переоформлении аттестата аккредитации плюс 16500 рублей за каждый пункт технического осмотра или передвижную диагностическую линию, указанные в этом заявлении</w:t>
      </w:r>
      <w:r w:rsidRPr="001343CC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3"/>
      </w: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4AD3" w:rsidRPr="001343CC" w:rsidRDefault="00414AD3" w:rsidP="00414AD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Наименование платежа в платежном поручении должно быть следующим: </w:t>
      </w:r>
      <w:r w:rsidR="006F33F6" w:rsidRPr="001343C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Плата за рассмотрение заявления о переоформлении аттестата аккредитации в сфере технического осмотра транспортных средств </w:t>
      </w:r>
      <w:r w:rsidRPr="001343CC">
        <w:rPr>
          <w:rFonts w:ascii="Times New Roman" w:eastAsia="Times New Roman" w:hAnsi="Times New Roman"/>
          <w:i/>
          <w:sz w:val="28"/>
          <w:szCs w:val="28"/>
          <w:lang w:eastAsia="ru-RU"/>
        </w:rPr>
        <w:t>за ___________________ (наименование организации, подавшей заявление с обязательным указанием ИНН), без налога (НДС).</w:t>
      </w:r>
    </w:p>
    <w:p w:rsidR="00414AD3" w:rsidRPr="001343CC" w:rsidRDefault="00414AD3" w:rsidP="00414AD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Плата за аккредитацию осуществляется исключительно на основании нормативных правовых актов Российской Федерации, не подразумевающих договорных отношений между РСА и заявителями (операторами технического осмотра), необходимость в выставлении и подписании каких-либо актов, счетов, счетов-фактур и иных подобных документов отсутствует.</w:t>
      </w:r>
    </w:p>
    <w:p w:rsidR="00414AD3" w:rsidRPr="001343CC" w:rsidRDefault="00414AD3" w:rsidP="00414AD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ошибки или неточности в уже исполненном платежном поручении необходимо представить в РСА на бумажном носителе непосредственно или направить заказным почтовым отправлением с уведомлением о вручении по рекомендуемой форме </w:t>
      </w: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>письмо об уточнении назначения платежа.</w:t>
      </w:r>
    </w:p>
    <w:p w:rsidR="00414AD3" w:rsidRPr="001343CC" w:rsidRDefault="00414AD3" w:rsidP="00414AD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>Плата за аккредитацию должна поступить на расчетный счет РСА не позднее даты представления заявления.</w:t>
      </w:r>
    </w:p>
    <w:p w:rsidR="00082261" w:rsidRPr="001343CC" w:rsidRDefault="00082261" w:rsidP="00414AD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AD3" w:rsidRPr="001343CC" w:rsidRDefault="00566F59" w:rsidP="00414AD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343CC">
        <w:rPr>
          <w:rFonts w:ascii="Times New Roman" w:hAnsi="Times New Roman"/>
          <w:b/>
          <w:sz w:val="28"/>
          <w:szCs w:val="28"/>
        </w:rPr>
        <w:t>На каждый</w:t>
      </w:r>
      <w:r w:rsidR="00414AD3" w:rsidRPr="001343CC">
        <w:rPr>
          <w:rFonts w:ascii="Times New Roman" w:hAnsi="Times New Roman"/>
          <w:b/>
          <w:sz w:val="28"/>
          <w:szCs w:val="28"/>
        </w:rPr>
        <w:t xml:space="preserve"> пункт технического осмотра, указанный в заявлении</w:t>
      </w:r>
      <w:r w:rsidRPr="001343CC">
        <w:rPr>
          <w:rFonts w:ascii="Times New Roman" w:hAnsi="Times New Roman"/>
          <w:b/>
          <w:sz w:val="28"/>
          <w:szCs w:val="28"/>
        </w:rPr>
        <w:t xml:space="preserve">, область аккредитации </w:t>
      </w:r>
      <w:r w:rsidR="00082261" w:rsidRPr="001343CC">
        <w:rPr>
          <w:rFonts w:ascii="Times New Roman" w:hAnsi="Times New Roman"/>
          <w:b/>
          <w:sz w:val="28"/>
          <w:szCs w:val="28"/>
        </w:rPr>
        <w:t>которо</w:t>
      </w:r>
      <w:r w:rsidR="00E93DE5" w:rsidRPr="001343CC">
        <w:rPr>
          <w:rFonts w:ascii="Times New Roman" w:hAnsi="Times New Roman"/>
          <w:b/>
          <w:sz w:val="28"/>
          <w:szCs w:val="28"/>
        </w:rPr>
        <w:t xml:space="preserve">го </w:t>
      </w:r>
      <w:r w:rsidR="00082261" w:rsidRPr="001343CC">
        <w:rPr>
          <w:rFonts w:ascii="Times New Roman" w:hAnsi="Times New Roman"/>
          <w:b/>
          <w:sz w:val="28"/>
          <w:szCs w:val="28"/>
        </w:rPr>
        <w:t>подлежит расширению</w:t>
      </w:r>
      <w:r w:rsidRPr="001343CC">
        <w:rPr>
          <w:rFonts w:ascii="Times New Roman" w:hAnsi="Times New Roman"/>
          <w:b/>
          <w:sz w:val="28"/>
          <w:szCs w:val="28"/>
        </w:rPr>
        <w:t xml:space="preserve"> </w:t>
      </w:r>
      <w:r w:rsidR="00414AD3" w:rsidRPr="001343CC">
        <w:rPr>
          <w:rFonts w:ascii="Times New Roman" w:hAnsi="Times New Roman"/>
          <w:i/>
          <w:sz w:val="28"/>
          <w:szCs w:val="28"/>
        </w:rPr>
        <w:t>(компоновать документы необходимо в отношении конкретного пункта технического осмотра)</w:t>
      </w:r>
    </w:p>
    <w:p w:rsidR="00414AD3" w:rsidRPr="001343CC" w:rsidRDefault="00414AD3" w:rsidP="00414AD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14AD3" w:rsidRPr="001343CC" w:rsidRDefault="00414AD3" w:rsidP="00414AD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343CC">
        <w:rPr>
          <w:rFonts w:ascii="Times New Roman" w:hAnsi="Times New Roman"/>
          <w:b/>
          <w:sz w:val="28"/>
          <w:szCs w:val="28"/>
        </w:rPr>
        <w:t>№ 3 Копии документов на здания или сооружения, используемые для пункта технического осмотра</w:t>
      </w:r>
      <w:r w:rsidR="00566F59" w:rsidRPr="001343CC">
        <w:rPr>
          <w:rFonts w:ascii="Times New Roman" w:hAnsi="Times New Roman"/>
          <w:b/>
          <w:sz w:val="28"/>
          <w:szCs w:val="28"/>
        </w:rPr>
        <w:t>,</w:t>
      </w:r>
      <w:r w:rsidR="005914C0" w:rsidRPr="001343CC">
        <w:rPr>
          <w:rFonts w:ascii="Times New Roman" w:hAnsi="Times New Roman"/>
          <w:b/>
          <w:sz w:val="28"/>
          <w:szCs w:val="28"/>
        </w:rPr>
        <w:t xml:space="preserve"> </w:t>
      </w:r>
      <w:r w:rsidR="00566F59" w:rsidRPr="001343CC">
        <w:rPr>
          <w:rFonts w:ascii="Times New Roman" w:hAnsi="Times New Roman"/>
          <w:b/>
          <w:sz w:val="28"/>
          <w:szCs w:val="28"/>
        </w:rPr>
        <w:t>область аккредитации которого расширяется</w:t>
      </w:r>
      <w:r w:rsidRPr="001343CC">
        <w:rPr>
          <w:rFonts w:ascii="Times New Roman" w:hAnsi="Times New Roman"/>
          <w:b/>
          <w:sz w:val="28"/>
          <w:szCs w:val="28"/>
        </w:rPr>
        <w:t>:</w:t>
      </w:r>
    </w:p>
    <w:p w:rsidR="00414AD3" w:rsidRPr="001343CC" w:rsidRDefault="00414AD3" w:rsidP="00414AD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>- в случае если</w:t>
      </w:r>
      <w:r w:rsidRPr="001343CC">
        <w:t xml:space="preserve"> </w:t>
      </w: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>здания или сооружения, используемые для пункта технического осмотра, являются недвижимым имуществом:</w:t>
      </w:r>
    </w:p>
    <w:p w:rsidR="00414AD3" w:rsidRPr="001343CC" w:rsidRDefault="00414AD3" w:rsidP="00414AD3">
      <w:pPr>
        <w:numPr>
          <w:ilvl w:val="0"/>
          <w:numId w:val="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копия Выписки из Единого государственного реестра прав на недвижимое имущество и сделок с ним (ЕГРН)</w:t>
      </w:r>
      <w:r w:rsidRPr="001343CC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, содержащая сведения об основных характеристиках объекта недвижимости (здания или сооружения как объекта завершенного строительства), о зарегистрированных правах на объект недвижимости, в том числе ограничениях, обременениях, описание местоположения объекта недвижимости (Выписка должна быть подписана усиленной квалифицированной электронной подписью, подтверждаемой соответствующим штампом</w:t>
      </w:r>
    </w:p>
    <w:p w:rsidR="00414AD3" w:rsidRPr="001343CC" w:rsidRDefault="00414AD3" w:rsidP="00414AD3">
      <w:pPr>
        <w:tabs>
          <w:tab w:val="left" w:pos="0"/>
          <w:tab w:val="left" w:pos="851"/>
        </w:tabs>
        <w:spacing w:after="0" w:line="360" w:lineRule="auto"/>
        <w:ind w:left="-156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noProof/>
          <w:lang w:eastAsia="ru-RU"/>
        </w:rPr>
        <w:drawing>
          <wp:inline distT="0" distB="0" distL="0" distR="0">
            <wp:extent cx="6315075" cy="1552575"/>
            <wp:effectExtent l="0" t="0" r="9525" b="9525"/>
            <wp:docPr id="2" name="Рисунок 2" descr="https://www.intrumnet.com/blog/images/158090319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intrumnet.com/blog/images/1580903190.web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AD3" w:rsidRPr="001343CC" w:rsidRDefault="00414AD3" w:rsidP="00414AD3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иметь собственноручную подпись должностного лица Росреестра, заверенную печатью Росреестра и содержать сведения, актуальные на дату подачи Заявления); </w:t>
      </w:r>
    </w:p>
    <w:p w:rsidR="00414AD3" w:rsidRDefault="002A2001" w:rsidP="0008406A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8406A" w:rsidRPr="009C5B6C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bookmarkStart w:id="0" w:name="_Hlk118194063"/>
      <w:r w:rsidR="0008406A" w:rsidRPr="009C5B6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необходимости, если заявитель не является собственником здания или сооружения, используемого для пункта технического осмотра, копия договора аренды/субаренды, предусматривающего право владения и пользования, предметом которого является сооружение/помещение/здание, находящееся по  адресу, указанному в заявлении, в котором стороной, получившей предмет в пользование, является Заявитель (с приложением договора аренды (в случае представления договора субаренды), акта приема-передачи по договору аренды/субаренды и приложений к договору аренды/субаренды (при наличии), содержащих существенные условия договора, а также согласованного двумя сторонами плана размещения </w:t>
      </w:r>
      <w:r w:rsidR="0008406A" w:rsidRPr="009C5B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арендуемого помещения (если арендуемое помещение является частью здания/сооружения). Если собственниками передаваемого объекта недвижимости являются несколько лиц или заявителю оно передается по договору субаренды – к проверке должен быть представлен документ, подтверждающий согласие собственника/сособственников на заключение договора аренды/субаренды. Если передаваемый объект недвижимости принадлежит арендодателю на праве хозяйственного ведения/оперативного управления – к проверке должен быть представлен документ, подтверждающий согласие собственника на заключение договора аренды</w:t>
      </w:r>
      <w:bookmarkEnd w:id="0"/>
      <w:r w:rsidR="0008406A" w:rsidRPr="009C5B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406A" w:rsidRPr="0008406A" w:rsidRDefault="0008406A" w:rsidP="0008406A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AD3" w:rsidRPr="001343CC" w:rsidRDefault="00414AD3" w:rsidP="00414A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>- в случае если сооружения, используемые для пункта технического осмотра, являются движимым имуществом</w:t>
      </w:r>
      <w:r w:rsidR="006D0B6C"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(не</w:t>
      </w: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>капитальным сооружением):</w:t>
      </w:r>
    </w:p>
    <w:p w:rsidR="00414AD3" w:rsidRPr="001343CC" w:rsidRDefault="00414AD3" w:rsidP="00414A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1343CC">
        <w:t xml:space="preserve"> </w:t>
      </w: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ab/>
        <w:t>копия Выписки из Единого государственного реестра прав на недвижимое имущество и сделок с ним (ЕГРН)</w:t>
      </w:r>
      <w:r w:rsidRPr="001343CC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5"/>
      </w: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 xml:space="preserve">, содержащая сведения об основных характеристиках </w:t>
      </w: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объекта недвижимости - земельного участка (на котором размещено</w:t>
      </w:r>
      <w:r w:rsidRPr="001343CC">
        <w:rPr>
          <w:b/>
        </w:rPr>
        <w:t xml:space="preserve"> </w:t>
      </w: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>сооружение, используемое для пункта технического осмотра)</w:t>
      </w: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, о зарегистрированных правах на объект недвижимости - земельного участка, в том числе ограничениях, обременениях, описание местоположения объекта недвижимости</w:t>
      </w:r>
      <w:r w:rsidRPr="001343CC">
        <w:t xml:space="preserve"> - </w:t>
      </w: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земельного участка (Выписка должна быть подписана усиленной квалифицированной электронной подписью, подтверждаемой </w:t>
      </w: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соответствующим штампом </w:t>
      </w:r>
      <w:r w:rsidRPr="001343CC">
        <w:rPr>
          <w:noProof/>
          <w:lang w:eastAsia="ru-RU"/>
        </w:rPr>
        <w:drawing>
          <wp:inline distT="0" distB="0" distL="0" distR="0">
            <wp:extent cx="6315075" cy="1552575"/>
            <wp:effectExtent l="0" t="0" r="9525" b="9525"/>
            <wp:docPr id="1" name="Рисунок 1" descr="https://www.intrumnet.com/blog/images/158090319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intrumnet.com/blog/images/1580903190.web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AD3" w:rsidRPr="001343CC" w:rsidRDefault="00414AD3" w:rsidP="00414AD3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иметь собственноручную подпись должностного лица Росреестра, заверенную печатью Росреестра и содержать сведения, актуальные на дату подачи Заявления); </w:t>
      </w:r>
    </w:p>
    <w:p w:rsidR="0008406A" w:rsidRPr="009C5B6C" w:rsidRDefault="0008406A" w:rsidP="0008406A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105577577"/>
      <w:r w:rsidRPr="009C5B6C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9C5B6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 необходимости, если заявитель не является собственником земельного участка (на котором размещено сооружение, используемое для пункта технического осмотра) – копия договора аренды/субаренды, предусматривающего право владения и пользования, предметом которого является земельный участок, находящийся по  адресу, указанному в заявлении, в котором стороной, получившей предмет в пользование является Заявитель (с приложением договора аренды (в случае представления договора субаренды), акта приема-передачи по договору аренды/субаренды и приложений к договору аренды/субаренды (при наличии), содержащих существенные условия договора, а также согласованного двумя сторонами плана размещения арендуемого земельного участка (если арендуемый земельный участок является частью объекта недвижимости). </w:t>
      </w:r>
      <w:bookmarkStart w:id="2" w:name="_Hlk118194564"/>
      <w:r w:rsidRPr="009C5B6C">
        <w:rPr>
          <w:rFonts w:ascii="Times New Roman" w:eastAsia="Times New Roman" w:hAnsi="Times New Roman"/>
          <w:sz w:val="28"/>
          <w:szCs w:val="28"/>
          <w:lang w:eastAsia="ru-RU"/>
        </w:rPr>
        <w:t>Если собственниками передаваемого земельного участка являются несколько лиц или заявителю оно передается по договору субаренды – к проверке должен быть представлен документ, подтверждающий согласие собственника/сособственников на заключение договора аренды/субаренды. Если передаваемый земельный участок принадлежит арендодателю на праве хозяйственного ведения/оперативного управления – к проверке должен быть представлен документ, подтверждающий согласие собственника на заключение договора аренды;</w:t>
      </w:r>
    </w:p>
    <w:bookmarkEnd w:id="2"/>
    <w:p w:rsidR="0008406A" w:rsidRDefault="0008406A" w:rsidP="0008406A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B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копии документов на право владения и пользования сооружением, используемым для пункта технического осмотра, являющимся движимым имуществом (некапитальным сооружением) – копия договора купли-продажи/подряда/аренды/субаренды/дарения/лизинга, предметом которого является движимое имущество и в котором одной из сторон является Заявитель (с приложением договора аренды (в случае представления договора субаренды), акта приема-передачи по договору аренды/субаренды и приложений к договору аренды/субаренды (при наличии), содержащих существенные условия договора, а также согласованного двумя сторонами плана размещения арендуемого некапитального сооружения на арендованном земельном участке). Если собственниками передаваемого сооружения являются несколько лиц или заявителю оно передается по договору субаренды – к проверке должен быть представлен документ, подтверждающий согласие собственника/сособственников на заключение договора аренды/субаренды. Если передаваемое сооружение принадлежит арендодателю на праве хозяйственного ведения/оперативного управления – к проверке должен быть представлен документ, подтверждающий согласие собственника на заключение договора аренды.</w:t>
      </w:r>
    </w:p>
    <w:bookmarkEnd w:id="1"/>
    <w:p w:rsidR="00414AD3" w:rsidRPr="001343CC" w:rsidRDefault="00414AD3" w:rsidP="00414A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AD3" w:rsidRPr="001343CC" w:rsidRDefault="00414AD3" w:rsidP="00414A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1343C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Необходимо обратить внимание:</w:t>
      </w:r>
    </w:p>
    <w:p w:rsidR="00414AD3" w:rsidRPr="001343CC" w:rsidRDefault="00414AD3" w:rsidP="00414AD3">
      <w:pPr>
        <w:numPr>
          <w:ilvl w:val="3"/>
          <w:numId w:val="1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Договоры, предметом которых являются движимое или недвижимое имущество, должны содержать следующие существенные условия:</w:t>
      </w:r>
    </w:p>
    <w:p w:rsidR="0008406A" w:rsidRDefault="002A2001" w:rsidP="0008406A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3" w:name="_Hlk105577594"/>
      <w:r w:rsidR="0008406A" w:rsidRPr="009C5B6C">
        <w:rPr>
          <w:rFonts w:ascii="Times New Roman" w:eastAsia="Times New Roman" w:hAnsi="Times New Roman"/>
          <w:sz w:val="28"/>
          <w:szCs w:val="28"/>
          <w:lang w:eastAsia="ru-RU"/>
        </w:rPr>
        <w:t>- предмет договора (точное описание объекта, в отношении которого заключен договор – адрес местонахождения (в отношении недвижимого имущества - адрес местонахождения в соответствии с ЕГРН), кадастровый номер (в отношении недвижимого имущества), арендуемая площадь. Рекомендуется включать в договор характеристики объекта - наличие систем инженерно-технического обеспечения, предназначенных для выполнения функций отопления, освещения, электроснабжения, связи);</w:t>
      </w:r>
    </w:p>
    <w:bookmarkEnd w:id="3"/>
    <w:p w:rsidR="002A2001" w:rsidRPr="001343CC" w:rsidRDefault="002A2001" w:rsidP="002A2001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AD3" w:rsidRPr="001343CC" w:rsidRDefault="00414AD3" w:rsidP="00414A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размер арендной платы или цена имущества в случае продажи;</w:t>
      </w:r>
    </w:p>
    <w:p w:rsidR="00414AD3" w:rsidRPr="001343CC" w:rsidRDefault="00414AD3" w:rsidP="00414A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- срок действия договора</w:t>
      </w:r>
      <w:r w:rsidRPr="001343CC">
        <w:t xml:space="preserve"> </w:t>
      </w: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(договор аренды недвижимого имущества, заключенный на срок не менее года, подлежит государственной регистрации и считается заключенным с момента такой регистрации</w:t>
      </w:r>
      <w:r w:rsidRPr="001343CC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6"/>
      </w: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14AD3" w:rsidRPr="001343CC" w:rsidRDefault="00414AD3" w:rsidP="00414A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2. Адрес пункта технического осмотра, указываемый в заявлении, должен:</w:t>
      </w:r>
    </w:p>
    <w:p w:rsidR="002A2001" w:rsidRPr="001343CC" w:rsidRDefault="002A2001" w:rsidP="002A2001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-  включать в себя, в том числе,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:rsidR="00414AD3" w:rsidRPr="001343CC" w:rsidRDefault="00414AD3" w:rsidP="00414A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- соответствовать в полном объеме адресу здания, сооружения или земельного участка, указанному в Выписке из Единого государственного реестра прав на недвижимое имущество и сделок с ним (ЕГРН);</w:t>
      </w:r>
    </w:p>
    <w:p w:rsidR="002A2001" w:rsidRPr="001343CC" w:rsidRDefault="002A2001" w:rsidP="002A2001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- соответствовать в полном объеме адресу объекта недвижимости, указанному в договоре аренды/субаренды, предметом которого является сооружение/помещение/здание или земельный участок.</w:t>
      </w:r>
    </w:p>
    <w:p w:rsidR="002A2001" w:rsidRPr="001343CC" w:rsidRDefault="002A2001" w:rsidP="002A2001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3. Производственные помещения или сооружения, в которых размещаются диагностические линии, въездные и выездные ворота, площадки для проверки тормозных систем транспортных средств в дорожных условиях, эстакады, осмотровые канавы, платформенные подъемники под колеса, должны соответствовать минимальным характеристикам, установленным Требованиями к производственно-технической базе операторов технического осмотра, утвержденными приказом Минтранса России от 9 июля 2020 г. № 232,</w:t>
      </w:r>
      <w:r w:rsidRPr="001343CC">
        <w:t xml:space="preserve"> </w:t>
      </w: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зависимости от категорий транспортных средств, входящих в область аккредитации ПТО. </w:t>
      </w:r>
    </w:p>
    <w:p w:rsidR="002A2001" w:rsidRPr="001343CC" w:rsidRDefault="002A2001" w:rsidP="002A2001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Замер ширины и длины производственного помещения или сооружения, в которых размещаются диагностические линии пункта технического осмотра, осуществляется между стенами помещения или сооружения (в случае если </w:t>
      </w: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помещение или сооружение целиком используется оператором технического осмотра на законном основании), или между границами арендуемой оператором технического осмотра площади производственного помещения. </w:t>
      </w:r>
    </w:p>
    <w:p w:rsidR="002A2001" w:rsidRPr="001343CC" w:rsidRDefault="002A2001" w:rsidP="002A2001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Высота производственного помещения или сооружения измеряется от пола помещения или сооружения до нижней точки несущих потолочных конструкций или потолка в помещениях или сооружениях, где располагаются диагностические линии. </w:t>
      </w:r>
    </w:p>
    <w:p w:rsidR="002A2001" w:rsidRPr="001343CC" w:rsidRDefault="002A2001" w:rsidP="002A2001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Замер длины, ширины и высоты производственного помещения или сооружения осуществляется на каждой диагностической линии пункта технического осмотра. </w:t>
      </w:r>
    </w:p>
    <w:p w:rsidR="002A2001" w:rsidRPr="001343CC" w:rsidRDefault="002A2001" w:rsidP="002A2001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Замер ширины въездных и выездных ворот проводится в их открытом состоянии, путем измерения минимального расстояния от граничной линии с одной стороны до граничной линии с другой стороны (створ ворот), а замер высоты – путем измерения минимального расстояния от поверхности качения колес транспортных средств до верхней горизонтальной граничной линии, проведенной по нижней точке притолоки ворот распашного типа или нижним краем подъемных ворот.</w:t>
      </w:r>
    </w:p>
    <w:p w:rsidR="002A2001" w:rsidRPr="001343CC" w:rsidRDefault="002A2001" w:rsidP="002A2001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 xml:space="preserve">4. Здания или сооружения, используемые для пункта технического осмотра, должны включать в себя сети инженерно-технического обеспечения и системы инженерно-технического обеспечения путем наличия в них: </w:t>
      </w:r>
    </w:p>
    <w:p w:rsidR="002A2001" w:rsidRPr="001343CC" w:rsidRDefault="002A2001" w:rsidP="002A2001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- устройств, предназначенных для передачи тепловой энергии и теплоносителя от централизованных или локальных источников тепловой энергии,</w:t>
      </w:r>
      <w:r w:rsidRPr="001343CC">
        <w:t xml:space="preserve"> </w:t>
      </w: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обеспечивающих соблюдение температурного режима работы средств технического диагностирования; </w:t>
      </w:r>
    </w:p>
    <w:p w:rsidR="002A2001" w:rsidRPr="001343CC" w:rsidRDefault="002A2001" w:rsidP="002A2001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- искусственного освещения помещения светильниками, лампами, и т.д. в соответствии с санитарными нормами;</w:t>
      </w:r>
    </w:p>
    <w:p w:rsidR="002A2001" w:rsidRPr="001343CC" w:rsidRDefault="002A2001" w:rsidP="002A2001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 xml:space="preserve">- централизованной системы электроснабжения или автономного источника электроснабжения; </w:t>
      </w:r>
    </w:p>
    <w:p w:rsidR="00414AD3" w:rsidRPr="001343CC" w:rsidRDefault="002A2001" w:rsidP="002A2001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- проводного или беспроводного доступа в информационно-телекоммуникационную сеть Интернет.</w:t>
      </w:r>
    </w:p>
    <w:p w:rsidR="00414AD3" w:rsidRPr="001343CC" w:rsidRDefault="00414AD3" w:rsidP="00414A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№ 4 Копии документов на средства технического диагностирования на каждую диагностическую линию, размещенную на </w:t>
      </w:r>
      <w:r w:rsidR="001C4A29"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пункте технического осмотра, область аккредитации которого расширяется </w:t>
      </w:r>
      <w:r w:rsidRPr="001343CC">
        <w:rPr>
          <w:rFonts w:ascii="Times New Roman" w:eastAsia="Times New Roman" w:hAnsi="Times New Roman"/>
          <w:i/>
          <w:sz w:val="28"/>
          <w:szCs w:val="28"/>
          <w:lang w:eastAsia="ru-RU"/>
        </w:rPr>
        <w:t>(компоновать документы необходимо в отношении каждой диагностической линии):</w:t>
      </w:r>
    </w:p>
    <w:p w:rsidR="0008406A" w:rsidRPr="00897AB8" w:rsidRDefault="0008406A" w:rsidP="0008406A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AB8">
        <w:rPr>
          <w:rFonts w:ascii="Times New Roman" w:eastAsia="Times New Roman" w:hAnsi="Times New Roman"/>
          <w:sz w:val="28"/>
          <w:szCs w:val="28"/>
          <w:lang w:eastAsia="ru-RU"/>
        </w:rPr>
        <w:t xml:space="preserve">- в отношении каждого средства технического диагностирования, необходимого для проверки категорий транспортных средств, включенных в область аккредитации пункта технического осмотра, указанного в заявлении, а также в отношении каждого средства фотофиксации транспортного средства - копия товарной накладной; универсального передаточного документа; товарного/кассового чека (в случае приобретения имущества индивидуальным предпринимателем); товарного/кассового чека и авансового отчета (в случае приобретения имущества юридическим лицом); инвентарной карточки учета основных средств; инвентаризационной описи; свидетельства о праве на наследство; решения суда; договора дарения/купли-продажи/ </w:t>
      </w:r>
      <w:r w:rsidRPr="009C5B6C">
        <w:rPr>
          <w:rFonts w:ascii="Times New Roman" w:eastAsia="Times New Roman" w:hAnsi="Times New Roman"/>
          <w:sz w:val="28"/>
          <w:szCs w:val="28"/>
          <w:lang w:eastAsia="ru-RU"/>
        </w:rPr>
        <w:t>лизинга/аренды/субаренды, предусматривающего право владения и пользования, (с приложением договора аренды (в случае представления договора субаренды), акта приема-передачи по договору аренды/субаренды и приложений к договору аренды/субаренды (при наличии), содержащих существенные условия договора). Если собственниками имущества, передаваемого по договору аренды, являются несколько лиц или заявителю оно передается по договору субаренды – к проверке должен быть представлен документ, подтверждающий согласие собственника/сособственников на заключение договора аренды/субаренды;</w:t>
      </w:r>
    </w:p>
    <w:p w:rsidR="002A2001" w:rsidRPr="001343CC" w:rsidRDefault="002A2001" w:rsidP="002A2001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- при необходимости копии паспортов или одобрений типа (иной технической и эксплуатационной документации) каждого средства технического диагностирования, а также средств фотофиксации</w:t>
      </w:r>
      <w:r w:rsidRPr="001343CC">
        <w:t xml:space="preserve"> </w:t>
      </w: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транспортного средства, содержащих сведения об их основных характеристиках, соответствующих приказу Минтранса России от 09.07.2020 г. № 232;</w:t>
      </w:r>
    </w:p>
    <w:p w:rsidR="002A2001" w:rsidRPr="001343CC" w:rsidRDefault="002A2001" w:rsidP="002A2001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 отношении каждого платформенного подъемника под колеса (при их наличии в производственном помещении пункта технического осмотра)</w:t>
      </w:r>
      <w:r w:rsidRPr="001343CC">
        <w:t xml:space="preserve"> -</w:t>
      </w: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 на право владения и пользования платформенного подъемника под колеса (копия договора купли-продажи/аренды/субаренды (с приложением акта приема-передачи и приложений (при наличии), содержащих существенные условия договора), предметом которого является платформенный подъемник под колеса и в котором одной из сторон является Заявитель), и копии документов, подтверждающих соответствие платформенного подъемника под колеса требованиям пункта 7 Требований к ПТБ, утвержденных приказом Минтранса России от 09.07.2020 № 232 (технический паспорт или сертификат).</w:t>
      </w:r>
    </w:p>
    <w:p w:rsidR="002A2001" w:rsidRPr="001343CC" w:rsidRDefault="002A2001" w:rsidP="002A2001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- в отношении каждой осмотровой эстакады (при их наличии в производственном помещении пункта технического осмотра) – копии документов на право владения и пользования эстакады по адресу пункта технического осмотра (копия договора купли-продажи/ подряда/ аренды/субаренды/</w:t>
      </w:r>
      <w:r w:rsidRPr="001343CC" w:rsidDel="00A030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 xml:space="preserve"> (с приложением акта приема-передачи и приложений (при наличии), содержащих существенные условия договора), предметом которого является эстакада и в котором одной из сторон является Заявитель), и копии документов, подтверждающих соответствие эстакады требованиям абзаца 3 пункта 8 Требований к ПТБ, утвержденных приказом Минтранса России от 09.07.2020 № 232 (технический паспорт или сертификат, или метрологическое заключение).</w:t>
      </w:r>
    </w:p>
    <w:p w:rsidR="002A2001" w:rsidRPr="001343CC" w:rsidRDefault="002A2001" w:rsidP="002A2001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2A2001" w:rsidRPr="001343CC" w:rsidRDefault="002A2001" w:rsidP="002A2001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1343C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Необходимо обратить внимание:</w:t>
      </w:r>
    </w:p>
    <w:p w:rsidR="002A2001" w:rsidRPr="001343CC" w:rsidRDefault="002A2001" w:rsidP="002A2001">
      <w:pPr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При указании заявителем в заявлении двух и более диагностических линий в ходе оценки соответствия требованиям аккредитации, проводимой в форме документарной и/или выездной проверки, проверяется следующее:</w:t>
      </w:r>
    </w:p>
    <w:p w:rsidR="002A2001" w:rsidRPr="001343CC" w:rsidRDefault="002A2001" w:rsidP="002A2001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 на законном основании, предусматривающим право владения и пользования, одного полного комплекта средств технического диагностирования, обязательных для аккредитации на категории </w:t>
      </w: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транспортных средств, указанных в области аккредитации пункта технического осмотра;</w:t>
      </w:r>
    </w:p>
    <w:p w:rsidR="002A2001" w:rsidRPr="001343CC" w:rsidRDefault="002A2001" w:rsidP="002A2001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наличие, на законном основании, предусматривающим право владения и пользования, иных комплектов оборудования, за исключением средств контроля давления сжатого воздуха в пневматическом и пневмогидравлическом тормозных приводах; </w:t>
      </w:r>
      <w:proofErr w:type="spellStart"/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нагружателя</w:t>
      </w:r>
      <w:proofErr w:type="spellEnd"/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 xml:space="preserve"> сцепного устройства прицепов; прибора для измерения суммарного люфта в рулевом управлении; прибора для проверки света фар; штангенциркуля (с линейкой для измерения глубин) или специального шаблона; газоанализатором; </w:t>
      </w:r>
      <w:proofErr w:type="spellStart"/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дымомера</w:t>
      </w:r>
      <w:proofErr w:type="spellEnd"/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; прибора для измерения частоты вращения коленчатого вала двигателя и температуры масла; универсального измерителя содержания загрязняющих веществ и дымности в отработавших газах; течеискателя для проверки герметичности газовой системы питания двигателей транспортных средств; прибором для проверки светопропускания стекол; линейкой (1м);</w:t>
      </w:r>
    </w:p>
    <w:p w:rsidR="0008406A" w:rsidRPr="0008406A" w:rsidRDefault="0008406A" w:rsidP="0008406A">
      <w:p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406A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 на законном основании, предусматривающим право владения и пользования, на каждой диагностической линии осмотровой канавы или платформенного подъемника под колеса или </w:t>
      </w:r>
      <w:r w:rsidRPr="009C5B6C">
        <w:rPr>
          <w:rFonts w:ascii="Times New Roman" w:eastAsia="Times New Roman" w:hAnsi="Times New Roman"/>
          <w:sz w:val="28"/>
          <w:szCs w:val="28"/>
          <w:lang w:eastAsia="ru-RU"/>
        </w:rPr>
        <w:t>эстакады</w:t>
      </w:r>
      <w:r w:rsidRPr="009C5B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соответствующих по грузоподъёмности области аккредитации Заявителя, </w:t>
      </w:r>
      <w:r w:rsidRPr="009C5B6C">
        <w:rPr>
          <w:rFonts w:ascii="Times New Roman" w:eastAsia="Times New Roman" w:hAnsi="Times New Roman"/>
          <w:sz w:val="28"/>
          <w:szCs w:val="28"/>
          <w:lang w:eastAsia="ru-RU"/>
        </w:rPr>
        <w:t>и средства фотофиксации.</w:t>
      </w:r>
      <w:r w:rsidRPr="000840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2001" w:rsidRPr="001343CC" w:rsidRDefault="002A2001" w:rsidP="002A2001">
      <w:pPr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Осмотровую эстакаду разрешено применять в случае невозможности применения осмотровой канавы или подъемника. При этом осмотровая эстакада должна находиться внутри производственного помещения или сооружения, где размещена диагностическая линия, при определенной высоте производственного помещения или сооружения и соответствовать Требованиям к производственно-технической базе операторов технического осмотра, утвержденным приказом Минтранса России от 09.07.2020 г. № 232.</w:t>
      </w:r>
    </w:p>
    <w:p w:rsidR="002A2001" w:rsidRPr="001343CC" w:rsidRDefault="002A2001" w:rsidP="002A2001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фотофиксации, размещаемые на каждой диагностической линии, в том числе и передвижной, должны формировать фотографическое изображение транспортного средства с характеристиками согласно требованиям к фотографическому изображению, утвержденным </w:t>
      </w: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приказом Минтранса России от 31.03.2020 г. № 97. Для подтверждения соответствия требованиям аккредитации в части наличия средств фотофиксации в РСА необходимо представлять копии документов, подтверждающих наличие у заявителя/оператора технического осмотра на законном основании, предусматривающим право владения и пользования, оборудования (фотоаппарат, смартфон, электронный планшет и т.п.), позволяющего получать фотографические изображение с размерами не менее 1280х720 пикселей в формате цвета RGB не менее 16 бит.</w:t>
      </w:r>
    </w:p>
    <w:p w:rsidR="002A2001" w:rsidRPr="001343CC" w:rsidRDefault="002A2001" w:rsidP="002A2001">
      <w:pPr>
        <w:numPr>
          <w:ilvl w:val="0"/>
          <w:numId w:val="3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Измерение размеров осмотровой канавы осуществляется путем вычисления: </w:t>
      </w:r>
    </w:p>
    <w:p w:rsidR="002A2001" w:rsidRPr="001343CC" w:rsidRDefault="002A2001" w:rsidP="002A2001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 xml:space="preserve">- среднего размера ширины, полученного при замерах расстояния между стенками канавы в обоих концах и посередине канавы; </w:t>
      </w:r>
    </w:p>
    <w:p w:rsidR="002A2001" w:rsidRDefault="002A2001" w:rsidP="002A2001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- среднего размера глубины, полученного при замерах глубины от пола канавы до фактического уровня поверхности качения колес транспортных средств, находящихся на данной диагностической линии, в обоих концах и посередине канавы</w:t>
      </w:r>
      <w:r w:rsidR="0008406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06A" w:rsidRPr="001343CC" w:rsidRDefault="0008406A" w:rsidP="0008406A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B6C">
        <w:rPr>
          <w:rFonts w:ascii="Times New Roman" w:eastAsia="Times New Roman" w:hAnsi="Times New Roman"/>
          <w:sz w:val="28"/>
          <w:szCs w:val="28"/>
          <w:lang w:eastAsia="ru-RU"/>
        </w:rPr>
        <w:t>- среднего размера длины, полученного при замерах расстояния между поперечными стенками канавы по ходу движения ТС.</w:t>
      </w:r>
    </w:p>
    <w:p w:rsidR="002A2001" w:rsidRPr="001343CC" w:rsidRDefault="00E21343" w:rsidP="002A2001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A2001" w:rsidRPr="001343C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A2001" w:rsidRPr="001343CC">
        <w:rPr>
          <w:rFonts w:ascii="Times New Roman" w:eastAsia="Times New Roman" w:hAnsi="Times New Roman"/>
          <w:sz w:val="28"/>
          <w:szCs w:val="28"/>
          <w:lang w:eastAsia="ru-RU"/>
        </w:rPr>
        <w:tab/>
        <w:t>На каждое средство технического диагностирования и оборудование, а также на каждое средство фотофиксации транспортного средства представляется хотя бы один документ, подтверждающий его принадлежность заявителю</w:t>
      </w:r>
      <w:r w:rsidR="002A2001" w:rsidRPr="001343CC">
        <w:t xml:space="preserve"> </w:t>
      </w:r>
      <w:r w:rsidR="002A2001" w:rsidRPr="001343CC">
        <w:rPr>
          <w:rFonts w:ascii="Times New Roman" w:eastAsia="Times New Roman" w:hAnsi="Times New Roman"/>
          <w:sz w:val="28"/>
          <w:szCs w:val="28"/>
          <w:lang w:eastAsia="ru-RU"/>
        </w:rPr>
        <w:t>на праве владения и пользования.</w:t>
      </w:r>
    </w:p>
    <w:p w:rsidR="00414AD3" w:rsidRPr="001343CC" w:rsidRDefault="00414AD3" w:rsidP="00414A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AD3" w:rsidRPr="001343CC" w:rsidRDefault="00414AD3" w:rsidP="00414A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>№ 5</w:t>
      </w:r>
      <w:r w:rsidRPr="001343CC">
        <w:rPr>
          <w:b/>
        </w:rPr>
        <w:t xml:space="preserve"> </w:t>
      </w: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Документ, содержащий расчет значения пропускной способности пункта технического осмотра</w:t>
      </w:r>
      <w:r w:rsidR="001C4A29"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1C4A29" w:rsidRPr="001343CC">
        <w:rPr>
          <w:rFonts w:ascii="Times New Roman" w:hAnsi="Times New Roman"/>
          <w:b/>
          <w:sz w:val="28"/>
          <w:szCs w:val="28"/>
        </w:rPr>
        <w:t>область аккредитации которого расширяется</w:t>
      </w: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14AD3" w:rsidRPr="001343CC" w:rsidRDefault="00414AD3" w:rsidP="00414A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Сведения о пропускной способности пункта технического осмотра (ПТО) (по рекомендуемой форме в отношении каждого пункта технического осмотра, указанном в заявлении).</w:t>
      </w:r>
    </w:p>
    <w:p w:rsidR="00414AD3" w:rsidRPr="001343CC" w:rsidRDefault="00414AD3" w:rsidP="00414A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Необходимо обратить внимание на Рекомендации для заявителей и операторов технического осмотра по расчету пропускной способности ПТО, производимого в соответствии с Методикой расчета пропускной способности пункта технического осмотра, утвержденной приказом Минтранса России от 30.04.2020 г. № 151 (отдельный файл).</w:t>
      </w:r>
    </w:p>
    <w:p w:rsidR="00414AD3" w:rsidRPr="001343CC" w:rsidRDefault="00414AD3" w:rsidP="00414A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AD3" w:rsidRPr="001343CC" w:rsidRDefault="00414AD3" w:rsidP="00414A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proofErr w:type="gramStart"/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>6  На</w:t>
      </w:r>
      <w:proofErr w:type="gramEnd"/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каждую передвижную диагностическую линию, указанную в заявлении (при наличии)</w:t>
      </w:r>
      <w:r w:rsidR="001C4A29"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>, область аккредитации которой расширяется</w:t>
      </w: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343CC">
        <w:rPr>
          <w:rFonts w:ascii="Times New Roman" w:eastAsia="Times New Roman" w:hAnsi="Times New Roman"/>
          <w:i/>
          <w:sz w:val="28"/>
          <w:szCs w:val="28"/>
          <w:lang w:eastAsia="ru-RU"/>
        </w:rPr>
        <w:t>(компоновать документы необходимо в отношении каждой передвижной диагностической линии)</w:t>
      </w: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A2001" w:rsidRPr="001343CC" w:rsidRDefault="002A2001" w:rsidP="002A2001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- в отношении каждого средства технического диагностирования и оборудования, необходимого для проверки категорий транспортных средств, включенных в область аккредитации передвижной диагностической линии, указанной в заявлении, а также в отношении каждого средства фотофиксации транспортного средства - копия товарной накладной; универсального передаточного документа; товарного/кассового чека (в случае приобретения имущества индивидуальным предпринимателем); товарного/кассового чека и авансового отчета (в случае приобретения имущества юридическим лицом); инвентарной карточки учета основных средств; инвентаризационной описи; свидетельства о праве на наследство; решения суда; договора дарения/ купли-продажи/ лизинга/ аренды/субаренды/</w:t>
      </w:r>
      <w:r w:rsidRPr="001343CC">
        <w:t xml:space="preserve"> </w:t>
      </w: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предусматривающего право владения и пользования</w:t>
      </w:r>
      <w:r w:rsidRPr="001343CC">
        <w:t xml:space="preserve"> </w:t>
      </w: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с актами приема-передачи и приложений (при наличии), содержащих существенные условия договора;</w:t>
      </w:r>
    </w:p>
    <w:p w:rsidR="002A2001" w:rsidRPr="001343CC" w:rsidRDefault="002A2001" w:rsidP="002A2001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- при необходимости – копии паспортов или одобрений типа (иной технической и эксплуатационной документации) каждого средства технического диагностирования и оборудования, а также средств фотофиксации транспортного средства, содержащих сведения об их основных характеристиках, соответствующих приказу Минтранса России от 09.07.2020 г. № 232.</w:t>
      </w:r>
    </w:p>
    <w:p w:rsidR="002A2001" w:rsidRPr="001343CC" w:rsidRDefault="002A2001" w:rsidP="002A2001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1343C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Необходимо обратить внимание:</w:t>
      </w:r>
    </w:p>
    <w:p w:rsidR="0008406A" w:rsidRDefault="0008406A" w:rsidP="0008406A">
      <w:pPr>
        <w:numPr>
          <w:ilvl w:val="0"/>
          <w:numId w:val="4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9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Передвижные диагностические линии должны быть оснащены источником </w:t>
      </w:r>
      <w:r w:rsidRPr="009C5B6C">
        <w:rPr>
          <w:rFonts w:ascii="Times New Roman" w:eastAsia="Times New Roman" w:hAnsi="Times New Roman"/>
          <w:sz w:val="28"/>
          <w:szCs w:val="28"/>
          <w:lang w:eastAsia="ru-RU"/>
        </w:rPr>
        <w:t xml:space="preserve">энергоснабжения, </w:t>
      </w:r>
      <w:r w:rsidRPr="009C5B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номинальная мощность которого позволяет эксплуатировать оборудование линии в рабочем режиме,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9296B">
        <w:rPr>
          <w:rFonts w:ascii="Times New Roman" w:eastAsia="Times New Roman" w:hAnsi="Times New Roman"/>
          <w:sz w:val="28"/>
          <w:szCs w:val="28"/>
          <w:lang w:eastAsia="ru-RU"/>
        </w:rPr>
        <w:t>а также дополнительными средствами для монтажа и демонтажа средств технического диагностирования и оборудования на месте проведения технического осмотра (в случае если дополнительные средства для монтажа и демонтажа предусмотрены изготовителем средств технического диагностирования и оборудования в соответствии с эксплуатационной документацией).</w:t>
      </w:r>
    </w:p>
    <w:p w:rsidR="002A2001" w:rsidRPr="001343CC" w:rsidRDefault="002A2001" w:rsidP="002A200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Средства фотофиксации, размещаемые на каждой передвижной диагностической линии, должны формировать фотографическое изображение транспортного средства с характеристиками согласно требованиям к фотографическому изображению, утвержденным приказом Минтранса России от 31.03.2020 г. № 97. Для подтверждения соответствия требованиям аккредитации в части наличия средств фотофиксации в РСА необходимо представлять копии документов, подтверждающих наличие у заявителя/оператора технического осмотра на законном основании, предусматривающем право владения и пользования, оборудования (фотоаппарат, смартфон, электронный планшет и т.п.), позволяющего получать фотографические изображение с размерами не менее 1280х720 пикселей в формате цвета RGB не менее 16 бит.</w:t>
      </w:r>
    </w:p>
    <w:p w:rsidR="002A2001" w:rsidRPr="001343CC" w:rsidRDefault="002A2001" w:rsidP="002A2001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На каждое средство технического диагностирования и оборудование, а также на каждое средство фотофиксации транспортного средства представляется хотя бы один документ, подтверждающий его принадлежность заявителю</w:t>
      </w:r>
      <w:r w:rsidRPr="001343CC">
        <w:t xml:space="preserve"> </w:t>
      </w: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на праве владения и пользования.</w:t>
      </w:r>
    </w:p>
    <w:p w:rsidR="00414AD3" w:rsidRPr="001343CC" w:rsidRDefault="00414AD3" w:rsidP="00414AD3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AD3" w:rsidRPr="001343CC" w:rsidRDefault="00414AD3" w:rsidP="00414A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>№ 7</w:t>
      </w:r>
      <w:r w:rsidRPr="001343CC">
        <w:rPr>
          <w:b/>
        </w:rPr>
        <w:t xml:space="preserve"> </w:t>
      </w: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Документ, содержащий расчет значения пропускной способности передвижной диагностической линии</w:t>
      </w:r>
      <w:r w:rsidR="001C4A29"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>, область аккредитации которой расширяется</w:t>
      </w: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14AD3" w:rsidRPr="001343CC" w:rsidRDefault="00414AD3" w:rsidP="00414A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- </w:t>
      </w: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Сведения о пропускной способности передвижной диагностической линии (ПДЛ) (по рекомендуемой форме в отношении каждой передвижной диагностической линии, указанной в заявлении).</w:t>
      </w:r>
    </w:p>
    <w:p w:rsidR="00414AD3" w:rsidRPr="001343CC" w:rsidRDefault="00414AD3" w:rsidP="00414A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Необходимо обратить внимание на Рекомендации для заявителей и операторов технического осмотра по расчету пропускной способности ПДЛ, производимого в соответствии с Методикой расчета пропускной способности пункта технического осмотра, утвержденной приказом Минтранса России от 30.04.2020 г. № 151 (отдельный файл).</w:t>
      </w:r>
    </w:p>
    <w:p w:rsidR="00414AD3" w:rsidRPr="001343CC" w:rsidRDefault="00414AD3" w:rsidP="00414A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AD3" w:rsidRPr="001343CC" w:rsidRDefault="00414AD3" w:rsidP="00414AD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343CC">
        <w:rPr>
          <w:rFonts w:ascii="Times New Roman" w:hAnsi="Times New Roman"/>
          <w:b/>
          <w:sz w:val="28"/>
          <w:szCs w:val="28"/>
        </w:rPr>
        <w:t xml:space="preserve">На каждого технического эксперта, указанного в заявлении </w:t>
      </w:r>
      <w:r w:rsidRPr="001343CC">
        <w:rPr>
          <w:rFonts w:ascii="Times New Roman" w:hAnsi="Times New Roman"/>
          <w:i/>
          <w:sz w:val="28"/>
          <w:szCs w:val="28"/>
        </w:rPr>
        <w:t>(компоновать документы необходимо в отношении</w:t>
      </w:r>
      <w:r w:rsidR="00E93DE5" w:rsidRPr="001343CC">
        <w:rPr>
          <w:rFonts w:ascii="Times New Roman" w:hAnsi="Times New Roman"/>
          <w:i/>
          <w:sz w:val="28"/>
          <w:szCs w:val="28"/>
        </w:rPr>
        <w:t xml:space="preserve"> каждого</w:t>
      </w:r>
      <w:r w:rsidRPr="001343CC">
        <w:rPr>
          <w:rFonts w:ascii="Times New Roman" w:hAnsi="Times New Roman"/>
          <w:i/>
          <w:sz w:val="28"/>
          <w:szCs w:val="28"/>
        </w:rPr>
        <w:t xml:space="preserve"> конкретного </w:t>
      </w:r>
      <w:r w:rsidR="00E93DE5" w:rsidRPr="001343CC">
        <w:rPr>
          <w:rFonts w:ascii="Times New Roman" w:hAnsi="Times New Roman"/>
          <w:i/>
          <w:sz w:val="28"/>
          <w:szCs w:val="28"/>
        </w:rPr>
        <w:t>технического эксперта</w:t>
      </w:r>
      <w:r w:rsidRPr="001343CC">
        <w:rPr>
          <w:rFonts w:ascii="Times New Roman" w:hAnsi="Times New Roman"/>
          <w:i/>
          <w:sz w:val="28"/>
          <w:szCs w:val="28"/>
        </w:rPr>
        <w:t>)</w:t>
      </w:r>
    </w:p>
    <w:p w:rsidR="00414AD3" w:rsidRPr="001343CC" w:rsidRDefault="00414AD3" w:rsidP="00414A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AD3" w:rsidRPr="001343CC" w:rsidRDefault="00414AD3" w:rsidP="00414A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8 Копии документов, подтверждающих наличие в штате технического эксперта </w:t>
      </w:r>
      <w:r w:rsidRPr="001343CC">
        <w:rPr>
          <w:rFonts w:ascii="Times New Roman" w:eastAsia="Times New Roman" w:hAnsi="Times New Roman"/>
          <w:i/>
          <w:sz w:val="28"/>
          <w:szCs w:val="28"/>
          <w:lang w:eastAsia="ru-RU"/>
        </w:rPr>
        <w:t>(не прикладывается в отношении индивидуального предпринимателя, являющегося одновременно техническим экспертом у самого себя)</w:t>
      </w: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14AD3" w:rsidRPr="001343CC" w:rsidRDefault="00414AD3" w:rsidP="00414A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- копия трудовой книжки или копия трудового договора, или копия приказа на работника.</w:t>
      </w:r>
    </w:p>
    <w:p w:rsidR="00414AD3" w:rsidRPr="001343CC" w:rsidRDefault="00414AD3" w:rsidP="00414A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AD3" w:rsidRPr="001343CC" w:rsidRDefault="00414AD3" w:rsidP="00414A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1343C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Необходимо обратить внимание:</w:t>
      </w:r>
    </w:p>
    <w:p w:rsidR="00414AD3" w:rsidRPr="001343CC" w:rsidRDefault="00414AD3" w:rsidP="00414AD3">
      <w:pPr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Должность во всех документах должна называться «Технический эксперт».</w:t>
      </w:r>
    </w:p>
    <w:p w:rsidR="00414AD3" w:rsidRPr="001343CC" w:rsidRDefault="00414AD3" w:rsidP="00414AD3">
      <w:pPr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Технический эксперт осуществляет техническое диагностирование по основному месту работы у заявителя.</w:t>
      </w:r>
    </w:p>
    <w:p w:rsidR="00414AD3" w:rsidRPr="001343CC" w:rsidRDefault="00414AD3" w:rsidP="00414AD3">
      <w:pPr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Приказы по личному составу (о приеме работника на работу, о переводе работника на другую должность, о совмещении должностей и т.п.) рекомендуем составлять по унифицированным формам, утвержденным нормативными правовыми актами уполномоченных государственных органов.</w:t>
      </w:r>
    </w:p>
    <w:p w:rsidR="00414AD3" w:rsidRPr="001343CC" w:rsidRDefault="00414AD3" w:rsidP="00414A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AD3" w:rsidRPr="001343CC" w:rsidRDefault="00414AD3" w:rsidP="00414A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b/>
          <w:sz w:val="28"/>
          <w:szCs w:val="28"/>
          <w:lang w:eastAsia="ru-RU"/>
        </w:rPr>
        <w:t>№ 9 Документы об образовании/переподготовке/повышении квалификации технического эксперта и стаже (опыте) работы:</w:t>
      </w:r>
    </w:p>
    <w:p w:rsidR="00414AD3" w:rsidRPr="001343CC" w:rsidRDefault="00414AD3" w:rsidP="00414A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- копии документов,</w:t>
      </w:r>
      <w:r w:rsidRPr="001343CC">
        <w:t xml:space="preserve"> </w:t>
      </w: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подтверждающих соответствие каждого технического эксперта Квалификационным требованиям, утвержденным приказом Минпромторга России от 20.03.2020 г. № 918 «Об утверждении Квалификационных требований к техническим экспертам».</w:t>
      </w:r>
    </w:p>
    <w:p w:rsidR="00414AD3" w:rsidRPr="001343CC" w:rsidRDefault="00414AD3" w:rsidP="00414A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AD3" w:rsidRDefault="00414AD3" w:rsidP="00414AD3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Необходимо обратить внимание на</w:t>
      </w:r>
      <w:r w:rsidRPr="001343CC">
        <w:t xml:space="preserve"> </w:t>
      </w:r>
      <w:r w:rsidRPr="001343CC">
        <w:rPr>
          <w:rFonts w:ascii="Times New Roman" w:eastAsia="Times New Roman" w:hAnsi="Times New Roman"/>
          <w:sz w:val="28"/>
          <w:szCs w:val="28"/>
          <w:lang w:eastAsia="ru-RU"/>
        </w:rPr>
        <w:t>Рекомендации для заявителей и операторов технического осмотра по предоставлению документов, подтверждающих квалификацию технических экспертов (отдельный файл).</w:t>
      </w:r>
    </w:p>
    <w:p w:rsidR="008F3ED3" w:rsidRDefault="008F3ED3"/>
    <w:p w:rsidR="00432268" w:rsidRDefault="00432268"/>
    <w:p w:rsidR="00432268" w:rsidRPr="009C5B6C" w:rsidRDefault="00432268" w:rsidP="00432268">
      <w:pPr>
        <w:tabs>
          <w:tab w:val="left" w:pos="0"/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5B6C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 ТОЛЬКО ДЛЯ ДИЛЕРОВ</w:t>
      </w:r>
    </w:p>
    <w:p w:rsidR="00432268" w:rsidRPr="009C5B6C" w:rsidRDefault="00432268" w:rsidP="00432268">
      <w:pPr>
        <w:tabs>
          <w:tab w:val="left" w:pos="0"/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2268" w:rsidRPr="009C5B6C" w:rsidRDefault="00432268" w:rsidP="00432268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B6C">
        <w:rPr>
          <w:rFonts w:ascii="Times New Roman" w:eastAsia="Times New Roman" w:hAnsi="Times New Roman"/>
          <w:sz w:val="28"/>
          <w:szCs w:val="28"/>
          <w:lang w:eastAsia="ru-RU"/>
        </w:rPr>
        <w:t>В случае если заявителем выступает дилер, в заявлении указываются марки транспортных средств, технический осмотр которых проводится дилером.</w:t>
      </w:r>
    </w:p>
    <w:p w:rsidR="00432268" w:rsidRPr="009C5B6C" w:rsidRDefault="00432268" w:rsidP="00432268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B6C">
        <w:rPr>
          <w:rFonts w:ascii="Times New Roman" w:eastAsia="Times New Roman" w:hAnsi="Times New Roman"/>
          <w:sz w:val="28"/>
          <w:szCs w:val="28"/>
          <w:lang w:eastAsia="ru-RU"/>
        </w:rPr>
        <w:t xml:space="preserve">К заявлению </w:t>
      </w:r>
      <w:bookmarkStart w:id="4" w:name="_GoBack"/>
      <w:bookmarkEnd w:id="4"/>
      <w:r w:rsidRPr="009C5B6C">
        <w:rPr>
          <w:rFonts w:ascii="Times New Roman" w:eastAsia="Times New Roman" w:hAnsi="Times New Roman"/>
          <w:sz w:val="28"/>
          <w:szCs w:val="28"/>
          <w:lang w:eastAsia="ru-RU"/>
        </w:rPr>
        <w:t>прилагаются следующие документы:</w:t>
      </w:r>
    </w:p>
    <w:p w:rsidR="00432268" w:rsidRDefault="00432268" w:rsidP="00432268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B6C">
        <w:rPr>
          <w:rFonts w:ascii="Times New Roman" w:eastAsia="Times New Roman" w:hAnsi="Times New Roman"/>
          <w:sz w:val="28"/>
          <w:szCs w:val="28"/>
          <w:lang w:eastAsia="ru-RU"/>
        </w:rPr>
        <w:t>- копия договора с производителем и (или) импортером (дистрибьютором) транспортных средств на сервисное обслуживание таких транспортных средств в случае, если заявителем является дилер.</w:t>
      </w:r>
    </w:p>
    <w:p w:rsidR="00432268" w:rsidRDefault="00432268"/>
    <w:sectPr w:rsidR="00432268" w:rsidSect="00A45068">
      <w:headerReference w:type="default" r:id="rId8"/>
      <w:pgSz w:w="11906" w:h="16838"/>
      <w:pgMar w:top="56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4FC" w:rsidRDefault="007524FC" w:rsidP="00414AD3">
      <w:pPr>
        <w:spacing w:after="0" w:line="240" w:lineRule="auto"/>
      </w:pPr>
      <w:r>
        <w:separator/>
      </w:r>
    </w:p>
  </w:endnote>
  <w:endnote w:type="continuationSeparator" w:id="0">
    <w:p w:rsidR="007524FC" w:rsidRDefault="007524FC" w:rsidP="0041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4FC" w:rsidRDefault="007524FC" w:rsidP="00414AD3">
      <w:pPr>
        <w:spacing w:after="0" w:line="240" w:lineRule="auto"/>
      </w:pPr>
      <w:r>
        <w:separator/>
      </w:r>
    </w:p>
  </w:footnote>
  <w:footnote w:type="continuationSeparator" w:id="0">
    <w:p w:rsidR="007524FC" w:rsidRDefault="007524FC" w:rsidP="00414AD3">
      <w:pPr>
        <w:spacing w:after="0" w:line="240" w:lineRule="auto"/>
      </w:pPr>
      <w:r>
        <w:continuationSeparator/>
      </w:r>
    </w:p>
  </w:footnote>
  <w:footnote w:id="1">
    <w:p w:rsidR="00414AD3" w:rsidRDefault="00414AD3" w:rsidP="00414AD3">
      <w:pPr>
        <w:pStyle w:val="a3"/>
      </w:pPr>
      <w:r>
        <w:rPr>
          <w:rStyle w:val="a5"/>
        </w:rPr>
        <w:footnoteRef/>
      </w:r>
      <w:r>
        <w:t xml:space="preserve"> </w:t>
      </w:r>
      <w:r w:rsidRPr="007C2772">
        <w:t>Форма утратила силу с 01.01.2017 г.</w:t>
      </w:r>
    </w:p>
  </w:footnote>
  <w:footnote w:id="2">
    <w:p w:rsidR="00414AD3" w:rsidRDefault="00414AD3" w:rsidP="00414AD3">
      <w:pPr>
        <w:pStyle w:val="a3"/>
      </w:pPr>
      <w:r>
        <w:rPr>
          <w:rStyle w:val="a5"/>
        </w:rPr>
        <w:footnoteRef/>
      </w:r>
      <w:r>
        <w:t xml:space="preserve"> </w:t>
      </w:r>
      <w:r w:rsidRPr="007C2772">
        <w:t>Приказ ФНС России от 06.11.2020 г. № ЕД-7-14/794@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и о внесении изменений в приказ ФНС России от 31.08.2020 г. № ЕД-7-14/617@»</w:t>
      </w:r>
    </w:p>
  </w:footnote>
  <w:footnote w:id="3">
    <w:p w:rsidR="00414AD3" w:rsidRDefault="00414AD3" w:rsidP="00414AD3">
      <w:pPr>
        <w:pStyle w:val="a3"/>
      </w:pPr>
      <w:r>
        <w:rPr>
          <w:rStyle w:val="a5"/>
        </w:rPr>
        <w:footnoteRef/>
      </w:r>
      <w:r>
        <w:t xml:space="preserve"> Пункт 1 </w:t>
      </w:r>
      <w:r w:rsidRPr="00D6257B">
        <w:t>Постановлени</w:t>
      </w:r>
      <w:r>
        <w:t>я</w:t>
      </w:r>
      <w:r w:rsidRPr="00D6257B">
        <w:t xml:space="preserve"> Правительства РФ от 03.11.2011</w:t>
      </w:r>
      <w:r>
        <w:t xml:space="preserve"> г.</w:t>
      </w:r>
      <w:r w:rsidRPr="00D6257B">
        <w:t xml:space="preserve"> </w:t>
      </w:r>
      <w:r>
        <w:t>№</w:t>
      </w:r>
      <w:r w:rsidRPr="00D6257B">
        <w:t xml:space="preserve"> 912 (ред. от</w:t>
      </w:r>
      <w:r>
        <w:t xml:space="preserve"> </w:t>
      </w:r>
      <w:r w:rsidRPr="00D6257B">
        <w:t xml:space="preserve"> 18.02.2020) </w:t>
      </w:r>
      <w:r>
        <w:t>«</w:t>
      </w:r>
      <w:r w:rsidRPr="00D6257B">
        <w:t>О размере платы за аккредитацию в сфере технического осмотра</w:t>
      </w:r>
      <w:r>
        <w:t>»</w:t>
      </w:r>
    </w:p>
  </w:footnote>
  <w:footnote w:id="4">
    <w:p w:rsidR="00414AD3" w:rsidRDefault="00414AD3" w:rsidP="00414AD3">
      <w:pPr>
        <w:pStyle w:val="a3"/>
      </w:pPr>
      <w:r>
        <w:rPr>
          <w:rStyle w:val="a5"/>
        </w:rPr>
        <w:footnoteRef/>
      </w:r>
      <w:r>
        <w:t xml:space="preserve"> </w:t>
      </w:r>
      <w:r w:rsidRPr="00532A5A">
        <w:t xml:space="preserve">Приказ Минэкономразвития России от 25.12.2015 </w:t>
      </w:r>
      <w:r>
        <w:t xml:space="preserve">г. № </w:t>
      </w:r>
      <w:r w:rsidRPr="00532A5A">
        <w:t xml:space="preserve"> 975 </w:t>
      </w:r>
      <w:r>
        <w:t>«</w:t>
      </w:r>
      <w:r w:rsidRPr="00532A5A">
        <w:t>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</w:t>
      </w:r>
      <w:r>
        <w:t>»</w:t>
      </w:r>
    </w:p>
  </w:footnote>
  <w:footnote w:id="5">
    <w:p w:rsidR="00414AD3" w:rsidRDefault="00414AD3" w:rsidP="00414AD3">
      <w:pPr>
        <w:pStyle w:val="a3"/>
      </w:pPr>
      <w:r>
        <w:rPr>
          <w:rStyle w:val="a5"/>
        </w:rPr>
        <w:footnoteRef/>
      </w:r>
      <w:r>
        <w:t xml:space="preserve"> </w:t>
      </w:r>
      <w:r w:rsidRPr="00532A5A">
        <w:t xml:space="preserve">Приказ Минэкономразвития России от 25.12.2015 </w:t>
      </w:r>
      <w:r>
        <w:t xml:space="preserve">г. № </w:t>
      </w:r>
      <w:r w:rsidRPr="00532A5A">
        <w:t xml:space="preserve"> 975 </w:t>
      </w:r>
      <w:r>
        <w:t>«</w:t>
      </w:r>
      <w:r w:rsidRPr="00532A5A">
        <w:t>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</w:t>
      </w:r>
      <w:r>
        <w:t>»</w:t>
      </w:r>
    </w:p>
    <w:p w:rsidR="00414AD3" w:rsidRDefault="00414AD3" w:rsidP="00414AD3">
      <w:pPr>
        <w:pStyle w:val="a3"/>
      </w:pPr>
    </w:p>
  </w:footnote>
  <w:footnote w:id="6">
    <w:p w:rsidR="00414AD3" w:rsidRDefault="00414AD3" w:rsidP="00414AD3">
      <w:pPr>
        <w:pStyle w:val="a3"/>
      </w:pPr>
      <w:r>
        <w:rPr>
          <w:rStyle w:val="a5"/>
        </w:rPr>
        <w:footnoteRef/>
      </w:r>
      <w:r>
        <w:t xml:space="preserve"> Часть 2 статьи 651 ГК РФ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5BC" w:rsidRDefault="00C26B0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1102A">
      <w:rPr>
        <w:noProof/>
      </w:rPr>
      <w:t>16</w:t>
    </w:r>
    <w:r>
      <w:fldChar w:fldCharType="end"/>
    </w:r>
  </w:p>
  <w:p w:rsidR="005E35BC" w:rsidRDefault="007524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17BB"/>
    <w:multiLevelType w:val="hybridMultilevel"/>
    <w:tmpl w:val="57DE4604"/>
    <w:lvl w:ilvl="0" w:tplc="96A6DF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7C2AB2"/>
    <w:multiLevelType w:val="hybridMultilevel"/>
    <w:tmpl w:val="435A2ABE"/>
    <w:lvl w:ilvl="0" w:tplc="DA1CECF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46CB127A"/>
    <w:multiLevelType w:val="hybridMultilevel"/>
    <w:tmpl w:val="435A2ABE"/>
    <w:lvl w:ilvl="0" w:tplc="DA1CECF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63ED3888"/>
    <w:multiLevelType w:val="hybridMultilevel"/>
    <w:tmpl w:val="6C402E6A"/>
    <w:lvl w:ilvl="0" w:tplc="DA1CECF0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69FD5934"/>
    <w:multiLevelType w:val="hybridMultilevel"/>
    <w:tmpl w:val="435A2ABE"/>
    <w:lvl w:ilvl="0" w:tplc="DA1CECF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72C00276"/>
    <w:multiLevelType w:val="hybridMultilevel"/>
    <w:tmpl w:val="1C124752"/>
    <w:lvl w:ilvl="0" w:tplc="6A4A3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AC5B49"/>
    <w:multiLevelType w:val="hybridMultilevel"/>
    <w:tmpl w:val="DE1A3240"/>
    <w:lvl w:ilvl="0" w:tplc="813C4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D3"/>
    <w:rsid w:val="00002A6D"/>
    <w:rsid w:val="00051D3D"/>
    <w:rsid w:val="00082261"/>
    <w:rsid w:val="0008406A"/>
    <w:rsid w:val="000E3C75"/>
    <w:rsid w:val="000F59E6"/>
    <w:rsid w:val="001343CC"/>
    <w:rsid w:val="0015350E"/>
    <w:rsid w:val="001C4A29"/>
    <w:rsid w:val="002A2001"/>
    <w:rsid w:val="0041102A"/>
    <w:rsid w:val="00414AD3"/>
    <w:rsid w:val="00432268"/>
    <w:rsid w:val="005239D1"/>
    <w:rsid w:val="00566F59"/>
    <w:rsid w:val="0057453A"/>
    <w:rsid w:val="005914C0"/>
    <w:rsid w:val="005949F5"/>
    <w:rsid w:val="006129C3"/>
    <w:rsid w:val="00696166"/>
    <w:rsid w:val="006D0B6C"/>
    <w:rsid w:val="006F33F6"/>
    <w:rsid w:val="00700112"/>
    <w:rsid w:val="007524FC"/>
    <w:rsid w:val="008D3729"/>
    <w:rsid w:val="008F3ED3"/>
    <w:rsid w:val="009875DE"/>
    <w:rsid w:val="009B553C"/>
    <w:rsid w:val="009C5B6C"/>
    <w:rsid w:val="009D038E"/>
    <w:rsid w:val="009E769F"/>
    <w:rsid w:val="00A21DFA"/>
    <w:rsid w:val="00A25C89"/>
    <w:rsid w:val="00A334D6"/>
    <w:rsid w:val="00A81E8D"/>
    <w:rsid w:val="00C26B06"/>
    <w:rsid w:val="00E21343"/>
    <w:rsid w:val="00E93DE5"/>
    <w:rsid w:val="00F3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9BB2"/>
  <w15:docId w15:val="{5FFAF26D-967B-463D-9E4C-30B841B5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AD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14AD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A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414AD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4AD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14AD3"/>
    <w:rPr>
      <w:vertAlign w:val="superscript"/>
    </w:rPr>
  </w:style>
  <w:style w:type="character" w:styleId="a6">
    <w:name w:val="Hyperlink"/>
    <w:uiPriority w:val="99"/>
    <w:unhideWhenUsed/>
    <w:rsid w:val="00414AD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14A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4AD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1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4AD3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3906</Words>
  <Characters>22267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Шелест Анастасия Леонидовна</dc:creator>
  <cp:lastModifiedBy>Шелест Анастасия Леонидовна</cp:lastModifiedBy>
  <cp:revision>12</cp:revision>
  <dcterms:created xsi:type="dcterms:W3CDTF">2022-06-08T06:21:00Z</dcterms:created>
  <dcterms:modified xsi:type="dcterms:W3CDTF">2022-11-03T08:33:00Z</dcterms:modified>
</cp:coreProperties>
</file>